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1695450</wp:posOffset>
            </wp:positionH>
            <wp:positionV relativeFrom="paragraph">
              <wp:posOffset>0</wp:posOffset>
            </wp:positionV>
            <wp:extent cx="2547938" cy="746677"/>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47938" cy="746677"/>
                    </a:xfrm>
                    <a:prstGeom prst="rect"/>
                    <a:ln/>
                  </pic:spPr>
                </pic:pic>
              </a:graphicData>
            </a:graphic>
          </wp:anchor>
        </w:drawing>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Sample Monetary Threshold Policy &amp; Guidance for when a </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Written Contract is not Required</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Fonts w:ascii="Calibri" w:cs="Calibri" w:eastAsia="Calibri" w:hAnsi="Calibri"/>
          <w:rtl w:val="0"/>
        </w:rPr>
        <w:t xml:space="preserve">What follows is a sample policy and guidance document developed for a fiscal sponsor to establish a monetary threshold where engagements with amounts under the threshold do not require a formal written contract.   This shouldn’t exist as a standalone document but rather a part of a comprehensive </w:t>
      </w:r>
      <w:r w:rsidDel="00000000" w:rsidR="00000000" w:rsidRPr="00000000">
        <w:rPr>
          <w:rFonts w:ascii="Calibri" w:cs="Calibri" w:eastAsia="Calibri" w:hAnsi="Calibri"/>
          <w:rtl w:val="0"/>
        </w:rPr>
        <w:t xml:space="preserve">procurement or contracting policy and procedures manual</w:t>
      </w:r>
      <w:r w:rsidDel="00000000" w:rsidR="00000000" w:rsidRPr="00000000">
        <w:rPr>
          <w:rFonts w:ascii="Calibri" w:cs="Calibri" w:eastAsia="Calibri" w:hAnsi="Calibri"/>
          <w:rtl w:val="0"/>
        </w:rPr>
        <w:t xml:space="preserve">.  Likewise, the $5000 threshold used in the sample is not offered as a definitive recommendation but rather where this particular fiscal sponsor arrived at after reviewing a host of factors including volume of contracts at or below that amount and relative risk exposure.</w:t>
      </w:r>
    </w:p>
    <w:p w:rsidR="00000000" w:rsidDel="00000000" w:rsidP="00000000" w:rsidRDefault="00000000" w:rsidRPr="00000000" w14:paraId="0000000A">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pBdr>
          <w:bottom w:color="000000" w:space="1" w:sz="18" w:val="single"/>
        </w:pBdr>
        <w:spacing w:line="240" w:lineRule="auto"/>
        <w:ind w:left="720" w:right="720" w:firstLine="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Your use of this sample does not constitute legal or accounting advice from Social Impact Commons. Social Impact Commons is making this sample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C">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line="240" w:lineRule="auto"/>
        <w:ind w:left="720" w:righ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&gt;&gt;&gt;You may remove this cover page for your use of this template.&lt;&lt;&lt;</w:t>
      </w: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spacing w:line="240" w:lineRule="auto"/>
        <w:ind w:left="720" w:righ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Expense Engagements below $5000</w:t>
      </w:r>
    </w:p>
    <w:p w:rsidR="00000000" w:rsidDel="00000000" w:rsidP="00000000" w:rsidRDefault="00000000" w:rsidRPr="00000000" w14:paraId="00000011">
      <w:pPr>
        <w:rPr/>
      </w:pPr>
      <w:r w:rsidDel="00000000" w:rsidR="00000000" w:rsidRPr="00000000">
        <w:rPr>
          <w:b w:val="1"/>
          <w:rtl w:val="0"/>
        </w:rPr>
        <w:t xml:space="preserve">Policy:</w:t>
      </w:r>
      <w:r w:rsidDel="00000000" w:rsidR="00000000" w:rsidRPr="00000000">
        <w:rPr>
          <w:rtl w:val="0"/>
        </w:rPr>
        <w:t xml:space="preserve">  Formal written contracts are typically not needed when a </w:t>
      </w:r>
      <w:r w:rsidDel="00000000" w:rsidR="00000000" w:rsidRPr="00000000">
        <w:rPr>
          <w:rtl w:val="0"/>
        </w:rPr>
        <w:t xml:space="preserve">Project</w:t>
      </w:r>
      <w:r w:rsidDel="00000000" w:rsidR="00000000" w:rsidRPr="00000000">
        <w:rPr>
          <w:rtl w:val="0"/>
        </w:rPr>
        <w:t xml:space="preserve"> desires to engage with a Contractor (which includes</w:t>
      </w:r>
      <w:r w:rsidDel="00000000" w:rsidR="00000000" w:rsidRPr="00000000">
        <w:rPr>
          <w:rtl w:val="0"/>
        </w:rPr>
        <w:t xml:space="preserve"> independent contractor</w:t>
      </w:r>
      <w:r w:rsidDel="00000000" w:rsidR="00000000" w:rsidRPr="00000000">
        <w:rPr>
          <w:rtl w:val="0"/>
        </w:rPr>
        <w:t xml:space="preserve">s, consultants, vendors or other third party service providers) and will pay them less than $5000 in a calendar year. </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What to Do:</w:t>
      </w:r>
    </w:p>
    <w:p w:rsidR="00000000" w:rsidDel="00000000" w:rsidP="00000000" w:rsidRDefault="00000000" w:rsidRPr="00000000" w14:paraId="00000014">
      <w:pPr>
        <w:rPr/>
      </w:pPr>
      <w:r w:rsidDel="00000000" w:rsidR="00000000" w:rsidRPr="00000000">
        <w:rPr>
          <w:rtl w:val="0"/>
        </w:rPr>
        <w:t xml:space="preserve">The process for engaging with such Contractors </w:t>
      </w:r>
      <w:r w:rsidDel="00000000" w:rsidR="00000000" w:rsidRPr="00000000">
        <w:rPr>
          <w:u w:val="single"/>
          <w:rtl w:val="0"/>
        </w:rPr>
        <w:t xml:space="preserve">paid less than $5000</w:t>
      </w:r>
      <w:r w:rsidDel="00000000" w:rsidR="00000000" w:rsidRPr="00000000">
        <w:rPr>
          <w:rtl w:val="0"/>
        </w:rPr>
        <w:t xml:space="preserve"> in a calendar year is as follows: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Complete</w:t>
      </w:r>
      <w:r w:rsidDel="00000000" w:rsidR="00000000" w:rsidRPr="00000000">
        <w:rPr>
          <w:rtl w:val="0"/>
        </w:rPr>
        <w:t xml:space="preserve"> a contract request form [link]</w:t>
      </w:r>
      <w:r w:rsidDel="00000000" w:rsidR="00000000" w:rsidRPr="00000000">
        <w:rPr>
          <w:rtl w:val="0"/>
        </w:rPr>
        <w:t xml:space="preserve">, including agreed upon scope, terms for compensation, and payment terms, and submit with a Form W9 completed by the Contractor.  Fiscal Sponsor will review the information to confirm:</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Payment terms are reasonable and funds are available for the engagement; and </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If the engagement is with an individual, they are appropriately classified as an independent contract rather than an employee.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Fiscal Sponsor will generally follow up with questions or approval within 5 days of receipt of complete information.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Approval will typically take the form of an </w:t>
      </w:r>
      <w:r w:rsidDel="00000000" w:rsidR="00000000" w:rsidRPr="00000000">
        <w:rPr>
          <w:rtl w:val="0"/>
        </w:rPr>
        <w:t xml:space="preserve">email</w:t>
      </w:r>
      <w:r w:rsidDel="00000000" w:rsidR="00000000" w:rsidRPr="00000000">
        <w:rPr>
          <w:rtl w:val="0"/>
        </w:rPr>
        <w:t xml:space="preserve">. Once approved, work by the Contractor may commence without a written contract.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Unexpected Cost Increases:</w:t>
      </w:r>
    </w:p>
    <w:p w:rsidR="00000000" w:rsidDel="00000000" w:rsidP="00000000" w:rsidRDefault="00000000" w:rsidRPr="00000000" w14:paraId="0000001C">
      <w:pPr>
        <w:rPr/>
      </w:pPr>
      <w:r w:rsidDel="00000000" w:rsidR="00000000" w:rsidRPr="00000000">
        <w:rPr>
          <w:rtl w:val="0"/>
        </w:rPr>
        <w:t xml:space="preserve">If a Contractor is engaged without a contract because the arrangement was believed to be less than $5000 and the scope and/or level of effort increases to where they will be paid at least $5000 in that year or if the sponsee wishes to enter into a new engagement with that party where the aggregate amount is at least $5000 during that year, Fiscal Sponsor may require a written contract be entered into covering the full period of work done by the contractor.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When Contract May Still be Appropriate: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Even when a Contractor will be paid less than $5000 in a calendar year, there still may be reasons </w:t>
      </w:r>
      <w:r w:rsidDel="00000000" w:rsidR="00000000" w:rsidRPr="00000000">
        <w:rPr>
          <w:rtl w:val="0"/>
        </w:rPr>
        <w:t xml:space="preserve">Project</w:t>
      </w:r>
      <w:r w:rsidDel="00000000" w:rsidR="00000000" w:rsidRPr="00000000">
        <w:rPr>
          <w:rtl w:val="0"/>
        </w:rPr>
        <w:t xml:space="preserve"> will want a written contract or when Fiscal Sponsor will require one. Examples include: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When intellectual property is being developed and the </w:t>
      </w:r>
      <w:r w:rsidDel="00000000" w:rsidR="00000000" w:rsidRPr="00000000">
        <w:rPr>
          <w:rtl w:val="0"/>
        </w:rPr>
        <w:t xml:space="preserve">Project</w:t>
      </w:r>
      <w:r w:rsidDel="00000000" w:rsidR="00000000" w:rsidRPr="00000000">
        <w:rPr>
          <w:rtl w:val="0"/>
        </w:rPr>
        <w:t xml:space="preserve"> desires clarity on ownership;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When working with youth and a background check is required;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When an upper-tier funding source requires a written contract; and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When the work entails a level of risk where safety protocols and insurance requirements need to be clearly agreed upon in writing.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such instances, Fiscal Sponsor will inform the Project of the need for a written contractor after it reviews the initial request and will support the drafting of said contract.  Additionally, Projects are always welcome to request a written contract regardless of the amount of funds transacted.</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